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6B3D" w14:textId="72F15BD7" w:rsidR="002C495F" w:rsidRDefault="004C0E6A" w:rsidP="002C495F">
      <w:pPr>
        <w:jc w:val="center"/>
        <w:rPr>
          <w:b/>
          <w:bCs/>
          <w:sz w:val="24"/>
          <w:szCs w:val="24"/>
        </w:rPr>
      </w:pPr>
      <w:r w:rsidRPr="002C495F">
        <w:rPr>
          <w:b/>
          <w:bCs/>
          <w:sz w:val="24"/>
          <w:szCs w:val="24"/>
        </w:rPr>
        <w:t>ESPECIFICACIONES GENERALES Y PARTICULARES</w:t>
      </w:r>
    </w:p>
    <w:p w14:paraId="468810F0" w14:textId="5C9E6308" w:rsidR="00C759FE" w:rsidRDefault="00AA667F" w:rsidP="00E14157">
      <w:pPr>
        <w:spacing w:before="240"/>
        <w:jc w:val="both"/>
        <w:rPr>
          <w:szCs w:val="20"/>
        </w:rPr>
      </w:pPr>
      <w:r>
        <w:rPr>
          <w:szCs w:val="20"/>
        </w:rPr>
        <w:t xml:space="preserve">Sirva el siguiente documento para esclarecer y presentar </w:t>
      </w:r>
      <w:r w:rsidR="00C759FE">
        <w:rPr>
          <w:szCs w:val="20"/>
        </w:rPr>
        <w:t xml:space="preserve">las especificaciones generales que se deben cumplir por parte de las partes involucradas en la ejecución de la obra. </w:t>
      </w:r>
    </w:p>
    <w:p w14:paraId="6CB669AE" w14:textId="2CFF65BC" w:rsidR="002C495F" w:rsidRDefault="002C495F" w:rsidP="00E14157">
      <w:pPr>
        <w:pStyle w:val="SubtitutoCO"/>
        <w:numPr>
          <w:ilvl w:val="0"/>
          <w:numId w:val="1"/>
        </w:numPr>
        <w:spacing w:before="240"/>
      </w:pPr>
      <w:r w:rsidRPr="002C495F">
        <w:t>Especificaciones Generales</w:t>
      </w:r>
    </w:p>
    <w:p w14:paraId="748CD14C" w14:textId="4099396A" w:rsidR="00C759FE" w:rsidRDefault="00351EB4" w:rsidP="00E14157">
      <w:pPr>
        <w:jc w:val="both"/>
      </w:pPr>
      <w:r>
        <w:rPr>
          <w:szCs w:val="20"/>
        </w:rPr>
        <w:t xml:space="preserve">De forma previa al inicio de los trabajos, la contratista deberá presentar un plan estratégico de trabajo con la finalidad de establecer horarios de circulación vial y al tiempo </w:t>
      </w:r>
      <w:r w:rsidR="00C759FE">
        <w:rPr>
          <w:szCs w:val="20"/>
        </w:rPr>
        <w:t>prever</w:t>
      </w:r>
      <w:r>
        <w:rPr>
          <w:szCs w:val="20"/>
        </w:rPr>
        <w:t xml:space="preserve"> la zona idónea para la señalización </w:t>
      </w:r>
      <w:r w:rsidR="00C759FE">
        <w:rPr>
          <w:szCs w:val="20"/>
        </w:rPr>
        <w:t>correspondiente la cual deberá cumplir con lo estipulado en la norma oficial mexicana NOM-086-SCT2-2015</w:t>
      </w:r>
      <w:r w:rsidR="00E14157">
        <w:rPr>
          <w:szCs w:val="20"/>
        </w:rPr>
        <w:t xml:space="preserve"> </w:t>
      </w:r>
      <w:r w:rsidR="00C759FE">
        <w:t xml:space="preserve">“Señalamiento y dispositivos para protección en zonas de obras viales”, la cual es aplicable al proyecto en cuestión. </w:t>
      </w:r>
    </w:p>
    <w:p w14:paraId="3BD3826A" w14:textId="61540ADE" w:rsidR="00351EB4" w:rsidRDefault="00C759FE" w:rsidP="00E14157">
      <w:pPr>
        <w:jc w:val="both"/>
      </w:pPr>
      <w:r>
        <w:t>La contratista deberá cumplir con la calidad de los materiales y trabajos ejecutados durante la obra, al tiempo que el personal deberá estar debidamente uniformado contado con el equipo de protección y seguridad necesario</w:t>
      </w:r>
      <w:r w:rsidR="00E14157">
        <w:t>;</w:t>
      </w:r>
      <w:r>
        <w:t xml:space="preserve"> las herramientas, equipo y maquinaria </w:t>
      </w:r>
      <w:r w:rsidR="00E14157">
        <w:t>requerida se</w:t>
      </w:r>
      <w:r>
        <w:t xml:space="preserve"> </w:t>
      </w:r>
      <w:r w:rsidR="00E14157">
        <w:t>deberá</w:t>
      </w:r>
      <w:r>
        <w:t xml:space="preserve"> presentarse en condiciones </w:t>
      </w:r>
      <w:r w:rsidR="00E14157">
        <w:t xml:space="preserve">óptimas </w:t>
      </w:r>
      <w:r>
        <w:t xml:space="preserve">para </w:t>
      </w:r>
      <w:r w:rsidR="00E14157">
        <w:t>utilizarlas</w:t>
      </w:r>
      <w:r>
        <w:t xml:space="preserve"> </w:t>
      </w:r>
      <w:r w:rsidR="00E14157">
        <w:t>de acuerdo con</w:t>
      </w:r>
      <w:r>
        <w:t xml:space="preserve"> lo establecido en el proyecto. </w:t>
      </w:r>
    </w:p>
    <w:p w14:paraId="03A9E6D7" w14:textId="117AA3FA" w:rsidR="00E902CC" w:rsidRDefault="008C2C43" w:rsidP="00E14157">
      <w:pPr>
        <w:pStyle w:val="SubtitutoCO"/>
        <w:numPr>
          <w:ilvl w:val="0"/>
          <w:numId w:val="1"/>
        </w:numPr>
        <w:spacing w:before="240"/>
        <w:jc w:val="both"/>
      </w:pPr>
      <w:r>
        <w:t>Especificaciones Particulares</w:t>
      </w:r>
    </w:p>
    <w:p w14:paraId="609A72FE" w14:textId="6DCEF2B7" w:rsidR="00AD3C80" w:rsidRPr="00E433CC" w:rsidRDefault="001B7C81" w:rsidP="001B7C81">
      <w:pPr>
        <w:jc w:val="both"/>
        <w:rPr>
          <w:u w:val="single"/>
        </w:rPr>
      </w:pPr>
      <w:r w:rsidRPr="00E433CC">
        <w:rPr>
          <w:u w:val="single"/>
        </w:rPr>
        <w:t xml:space="preserve">Especificaciones luminarias: </w:t>
      </w:r>
    </w:p>
    <w:p w14:paraId="1A83113D" w14:textId="0D478B85" w:rsidR="001B7C81" w:rsidRDefault="001B7C81" w:rsidP="001B7C81">
      <w:pPr>
        <w:jc w:val="both"/>
      </w:pPr>
      <w:r w:rsidRPr="001B7C81">
        <w:t>Luminarias (luz led 100 w.) Marca TECNOLITE, modelo corona IV, fuente de luz led, temperatura de color 6500 k., flujo luminoso de 2000 lm., vida útil de 30,000 hrs. mínimo, potencia 100 w., grado de protección ip65, ik06 con panel fotovoltaico, batería de litio de 15000 mah y fotocelda integrada., colocada en un poste cónico circular metálica de 6 m. Pintado con poliestercon (color a definir) con dos brazos de 1.20 m. De longitud pintado con poliestercon (color a definir)</w:t>
      </w:r>
    </w:p>
    <w:p w14:paraId="0517A844" w14:textId="11CEB8B6" w:rsidR="00E433CC" w:rsidRDefault="00E433CC" w:rsidP="001B7C81">
      <w:pPr>
        <w:jc w:val="both"/>
      </w:pPr>
      <w:r w:rsidRPr="00E433CC">
        <w:rPr>
          <w:u w:val="single"/>
        </w:rPr>
        <w:t>Preliminares</w:t>
      </w:r>
    </w:p>
    <w:p w14:paraId="23F2DAA9" w14:textId="2F778FAB" w:rsidR="00E433CC" w:rsidRDefault="00E433CC" w:rsidP="00E433CC">
      <w:pPr>
        <w:jc w:val="both"/>
      </w:pPr>
      <w:r>
        <w:t xml:space="preserve">NORMAS Y ESPECIFICACIONES PARA ESTUDIOS, PROYECTO, CONSTRUCCIÓN E </w:t>
      </w:r>
      <w:r>
        <w:t>INSTALACIONES INIFED</w:t>
      </w:r>
      <w:r>
        <w:t xml:space="preserve">                                                                                                                                                                                                          2.1. TRAZO Y NIVELACIÓN. </w:t>
      </w:r>
    </w:p>
    <w:p w14:paraId="36BB5618" w14:textId="77777777" w:rsidR="00E433CC" w:rsidRDefault="00E433CC" w:rsidP="00E433CC">
      <w:pPr>
        <w:jc w:val="both"/>
      </w:pPr>
      <w:r>
        <w:t xml:space="preserve">A. DEFINICIÓN. </w:t>
      </w:r>
    </w:p>
    <w:p w14:paraId="4877E962" w14:textId="78E64551" w:rsidR="00E433CC" w:rsidRDefault="00E433CC" w:rsidP="00E433CC">
      <w:pPr>
        <w:jc w:val="both"/>
      </w:pPr>
      <w:r>
        <w:t xml:space="preserve">Trabajo necesario para definir y diferenciar puntos, distancias, ángulos y cotas en el terreno, partiendo de los datos del proyecto ejecutivo. Referencias de trazo. Es el conjunto de trabajos necesarios para marcar en el campo los puntos fijos que permitan, en cualquier momento, reponer el trazo. Nivelación. Es el conjunto de trabajos necesarios para determinar en el campo las elevaciones de todos los puntos característicos replanteados de las estaciones con cadenamientos cerrados a cada veinte (20) metros, o lo especificado en el proyecto, de los puntos singulares que se caractericen cambios en la pendiente del terreno. B. REQUISITOS DE EJECUCIÓN. Se entregará por escrito al contratista por una sola vez, el trazo de los ejes principales de las obras, los linderos amojonados del terreno dentro del cual se realizarán éstas y un banco de nivel general. El contratista se obliga a conservarlos y a colocar Operaciones requeridas para desmontar, desmantelar o deshacer objetos, muebles, elementos o estructuras. Deberán realizarse con las precauciones necesarias para no afectar construcciones vecinas o elementos cercanos, siendo responsabilidad exclusiva del contratista, cualquier daño o perjuicio causado a propios o extraños durante la demolición. definitivo, se marcará en el campo mediante tornillos con cabeza de cruz o varillas de nueve punto cinco (9.5) milímetro de diámetro (3/8”), de diez (10) centímetros de longitud, ahogados en mojoneras de concreto de veinte (20) centímetros de diámetro y cuarenta (40) centímetros de profundidad. Cuando se trate de un eje definitivo, se marcarán en el campo al menos tres puntos característicos por kilómetro, de acuerdo con lo indicado en el Inciso anterior. Se establecerán los puntos de referencia de trazo para los puntos característicos del eje, marcándose </w:t>
      </w:r>
      <w:r>
        <w:lastRenderedPageBreak/>
        <w:t>sobre este mediante estacas los puntos de las estaciones con cadenamientos errados a cada veinte (20) metros, señalando en las estacas los cadenamientos correspondientes, con aproximación a un (1) centímetro, con pintura roja cuando se trate de un eje preliminar o azul cuando sea definitivo. Se construirán bancos de nivel inamovibles e inalterables, referencias de los mismos, estacados y señalados; auxiliares para uso de los trabajadores en la construcción directa de la obra.</w:t>
      </w:r>
    </w:p>
    <w:p w14:paraId="63C88242" w14:textId="0F680B1C" w:rsidR="00E433CC" w:rsidRPr="00E433CC" w:rsidRDefault="00E433CC" w:rsidP="00E433CC">
      <w:pPr>
        <w:jc w:val="both"/>
        <w:rPr>
          <w:u w:val="single"/>
        </w:rPr>
      </w:pPr>
      <w:r w:rsidRPr="00E433CC">
        <w:rPr>
          <w:u w:val="single"/>
        </w:rPr>
        <w:t>Cimentaciones</w:t>
      </w:r>
    </w:p>
    <w:p w14:paraId="11B4735B" w14:textId="0D3F4554" w:rsidR="00E433CC" w:rsidRDefault="00E433CC" w:rsidP="00E433CC">
      <w:pPr>
        <w:jc w:val="both"/>
      </w:pPr>
      <w:r>
        <w:t xml:space="preserve">NORMAS Y ESPECIFICACIONES PARA ESTUDIOS, PROYECTO, CONSTRUCCIÓN E </w:t>
      </w:r>
      <w:r>
        <w:t xml:space="preserve">INSTALACIONES INIFED </w:t>
      </w:r>
      <w:r>
        <w:t xml:space="preserve">VOLUMEN 6 , TOMO III CIMENTACIONES A. DEFINICION La </w:t>
      </w:r>
      <w:r>
        <w:t>cimentación</w:t>
      </w:r>
      <w:r>
        <w:t xml:space="preserve"> es la subestructura cuya </w:t>
      </w:r>
      <w:r>
        <w:t>función</w:t>
      </w:r>
      <w:r>
        <w:t xml:space="preserve"> es la de transmitir directamente al suelo las fuerzas que </w:t>
      </w:r>
      <w:r>
        <w:t>actúan</w:t>
      </w:r>
      <w:r>
        <w:t xml:space="preserve"> en ella, y en la cual se utilizaran concretos </w:t>
      </w:r>
      <w:r>
        <w:t>hidráulicos</w:t>
      </w:r>
      <w:r>
        <w:t xml:space="preserve"> de diferentes resistencias (</w:t>
      </w:r>
      <w:r>
        <w:t xml:space="preserve">100, </w:t>
      </w:r>
      <w:r w:rsidR="00DD1A1F">
        <w:t>150, 200, 250 kgs</w:t>
      </w:r>
      <w:r>
        <w:t xml:space="preserve">/cm2) dependiendo de las especificaciones que marque el proyecto, asi como las </w:t>
      </w:r>
      <w:r>
        <w:t>características</w:t>
      </w:r>
      <w:r>
        <w:t xml:space="preserve"> de la </w:t>
      </w:r>
      <w:r w:rsidR="00DD1A1F">
        <w:t>cimbra y</w:t>
      </w:r>
      <w:r>
        <w:t xml:space="preserve"> el acero estructural que se utilizara siendo su fs = 4200 kgs/cm2  </w:t>
      </w:r>
    </w:p>
    <w:p w14:paraId="45B79440" w14:textId="0C875BD9" w:rsidR="00E433CC" w:rsidRPr="00E433CC" w:rsidRDefault="00E433CC" w:rsidP="00E433CC">
      <w:pPr>
        <w:jc w:val="both"/>
        <w:rPr>
          <w:u w:val="single"/>
        </w:rPr>
      </w:pPr>
      <w:r w:rsidRPr="00E433CC">
        <w:rPr>
          <w:u w:val="single"/>
        </w:rPr>
        <w:t>Estructuras y albañilerías</w:t>
      </w:r>
    </w:p>
    <w:p w14:paraId="6FD6EE75" w14:textId="0F6B9427" w:rsidR="00E433CC" w:rsidRDefault="00E433CC" w:rsidP="00E433CC">
      <w:pPr>
        <w:jc w:val="both"/>
      </w:pPr>
      <w:r w:rsidRPr="00E433CC">
        <w:t xml:space="preserve">NORMAS Y ESPECIFICACIONES PARA ESTUDIOS, PROYECTO, CONSTRUCCIÓN E INSTALACIONES INIFED. volumen_6_Tomo_V_Estructuras. Secciones diversas según cálculo estructural, de concreto f’c= 250 kg/cm2 armado </w:t>
      </w:r>
      <w:r w:rsidR="00DD1A1F" w:rsidRPr="00E433CC">
        <w:t>con acero</w:t>
      </w:r>
      <w:r w:rsidRPr="00E433CC">
        <w:t xml:space="preserve"> de refuerzo f’y= 4200 kg/cm2. Durante la construcción se harán pruebas, para establecer la calidad de los materiales y la relación que existe entre la resistencia a los 7 y 28 días</w:t>
      </w:r>
    </w:p>
    <w:p w14:paraId="6ACEE1A9" w14:textId="5526D8B2" w:rsidR="00E433CC" w:rsidRPr="00DD1A1F" w:rsidRDefault="00E433CC" w:rsidP="00E433CC">
      <w:pPr>
        <w:jc w:val="both"/>
        <w:rPr>
          <w:u w:val="single"/>
        </w:rPr>
      </w:pPr>
      <w:r w:rsidRPr="00DD1A1F">
        <w:rPr>
          <w:u w:val="single"/>
        </w:rPr>
        <w:t>Instalaciones hidráulicas – sanitarias</w:t>
      </w:r>
    </w:p>
    <w:p w14:paraId="1348A51C" w14:textId="38A4C23D" w:rsidR="00E433CC" w:rsidRDefault="00DD1A1F" w:rsidP="00E433CC">
      <w:pPr>
        <w:jc w:val="both"/>
      </w:pPr>
      <w:r w:rsidRPr="00DD1A1F">
        <w:t xml:space="preserve">El Contratista de las Instalaciones Hidráulicas y Sanitarias asumirá la responsabilidad total en el suministro de materiales y mano de obra técnica y especializada para la ejecución de los trabajos. Los materiales deben cumplir con las Normas de Alcantarillado Sanitario NMX-E-215/1/1993 para tuberías y NMX-E-215/2/1993 para conexiones., La distribución a los diferentes Servicios se hará </w:t>
      </w:r>
      <w:r w:rsidRPr="00DD1A1F">
        <w:t>de acuerdo con el</w:t>
      </w:r>
      <w:r w:rsidRPr="00DD1A1F">
        <w:t xml:space="preserve"> diseño </w:t>
      </w:r>
      <w:r w:rsidRPr="00DD1A1F">
        <w:t>Hidráulico,</w:t>
      </w:r>
      <w:r w:rsidRPr="00DD1A1F">
        <w:t xml:space="preserve"> </w:t>
      </w:r>
      <w:r w:rsidRPr="00DD1A1F">
        <w:t>pero debe</w:t>
      </w:r>
      <w:r w:rsidRPr="00DD1A1F">
        <w:t xml:space="preserve"> controlarse con los planos arquitectónicos rectificando toda cota y de acuerdo a los aparatos a instalar. Se deberán suministrar e instalar los Sanitarios Tipo IDEAL STD, y deberán incluir el mueble y todos los accesorios para su correcta instalación. El aparato sanitario deberá colocarse en forma centrada al punto de desagüe. Una vez terminada la colocación de la tubería, esta deberá someterse a la revisión del supervisor para verificar su correcta instalación</w:t>
      </w:r>
    </w:p>
    <w:p w14:paraId="5ED70C98" w14:textId="4D370474" w:rsidR="00DD1A1F" w:rsidRPr="00DD1A1F" w:rsidRDefault="00DD1A1F" w:rsidP="00E433CC">
      <w:pPr>
        <w:jc w:val="both"/>
        <w:rPr>
          <w:u w:val="single"/>
        </w:rPr>
      </w:pPr>
      <w:r w:rsidRPr="00DD1A1F">
        <w:rPr>
          <w:u w:val="single"/>
        </w:rPr>
        <w:t>Instalaciones eléctricas</w:t>
      </w:r>
    </w:p>
    <w:p w14:paraId="33DD3F55" w14:textId="17B170C0" w:rsidR="00DD1A1F" w:rsidRPr="00E433CC" w:rsidRDefault="00DD1A1F" w:rsidP="00DD1A1F">
      <w:pPr>
        <w:jc w:val="both"/>
      </w:pPr>
      <w:r>
        <w:t xml:space="preserve">Para la construcción de acometidas deben de realizarse bajo la </w:t>
      </w:r>
      <w:r>
        <w:t>especificación. -</w:t>
      </w:r>
      <w:r>
        <w:t xml:space="preserve">  2 SISTEMAS DE ALIMENTACIÓN APLICABLES.DE LAS NORMAS Y ESPECIFICACIONES PARA ESTUDIOS, PROYECTOS, CONSTRUCCIÓN E INSTALACIONES. 2 SISTEMAS DE ALIMENTACIÓN APLICABLES.</w:t>
      </w:r>
      <w:r>
        <w:t xml:space="preserve"> </w:t>
      </w:r>
      <w:r>
        <w:t>Las características, aplicación y diagramas de los sistemas de distribución en baja tensión, se fijan en las Tablas No. 2.1 y 2.1</w:t>
      </w:r>
      <w:r>
        <w:t xml:space="preserve"> </w:t>
      </w:r>
      <w:r>
        <w:t>TABLEROS DE BAJA TENSIÓN.</w:t>
      </w:r>
      <w:r>
        <w:t xml:space="preserve"> </w:t>
      </w:r>
      <w:r>
        <w:t>En general, tableros e interruptores de B.T. deberán cumplir</w:t>
      </w:r>
      <w:r>
        <w:t xml:space="preserve"> </w:t>
      </w:r>
      <w:r>
        <w:t>con lo siguiente: a) Los tableros de distribución de Baja Tensión podrán ser del tipo autosoportado o demontaje en pared de empotrar o sobreponer, con accesorios de medición de BT cuando así lo indique el proyecto, diseñados para operar en 120/240 VCA, 220 y 127 VCA, 220 /480 VCA y 600 VCA, 1F-3 Hilos ó 3F-4 Hilos según se requiera. b) Los gabinetes deben ser construidos y armados con lámina de acero rolada en frío, Calibre No. 14 USG y Perfiles No. 10 USG Todo el gabinete con acabado tropicalizado.c) Las barras alimentadoras deben ser de cobre electrolítico, con una densidad de corriente no menor a 1000 Amperios por pulgada cuadrada, montadas en forma vertical, y diseñadas para soportar los esfuerzos mécanicos producidos por las corrientes de corto circuito, conforme a la capacidad interruptiva mayor de los interruptores que se puedan enchufar o atornillas en el tablero proyectado. Este debe contar con una barra neutra de cobre, con una capacidad de conducción entre el 100 al 200 % de lasbarras alimentadoras y contener zapatas terminales de acuerdo a la capacidad nominal de los interruptores termomagneticos que se monten en el tablero.</w:t>
      </w:r>
    </w:p>
    <w:sectPr w:rsidR="00DD1A1F" w:rsidRPr="00E433CC" w:rsidSect="00E902CC">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E1F6E" w14:textId="77777777" w:rsidR="00235C0C" w:rsidRDefault="00235C0C" w:rsidP="002C495F">
      <w:pPr>
        <w:spacing w:after="0" w:line="240" w:lineRule="auto"/>
      </w:pPr>
      <w:r>
        <w:separator/>
      </w:r>
    </w:p>
  </w:endnote>
  <w:endnote w:type="continuationSeparator" w:id="0">
    <w:p w14:paraId="07F7DC20" w14:textId="77777777" w:rsidR="00235C0C" w:rsidRDefault="00235C0C" w:rsidP="002C4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849EB" w14:textId="77777777" w:rsidR="00235C0C" w:rsidRDefault="00235C0C" w:rsidP="002C495F">
      <w:pPr>
        <w:spacing w:after="0" w:line="240" w:lineRule="auto"/>
      </w:pPr>
      <w:r>
        <w:separator/>
      </w:r>
    </w:p>
  </w:footnote>
  <w:footnote w:type="continuationSeparator" w:id="0">
    <w:p w14:paraId="3B98497E" w14:textId="77777777" w:rsidR="00235C0C" w:rsidRDefault="00235C0C" w:rsidP="002C4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86C8C" w14:textId="47F122B3" w:rsidR="002C495F" w:rsidRDefault="001B7C81">
    <w:pPr>
      <w:pStyle w:val="Encabezado"/>
    </w:pPr>
    <w:r w:rsidRPr="001B7C81">
      <w:drawing>
        <wp:anchor distT="0" distB="0" distL="114300" distR="114300" simplePos="0" relativeHeight="251658240" behindDoc="0" locked="0" layoutInCell="1" allowOverlap="1" wp14:anchorId="08CD15B5" wp14:editId="3EB9FF7B">
          <wp:simplePos x="0" y="0"/>
          <wp:positionH relativeFrom="margin">
            <wp:posOffset>-478155</wp:posOffset>
          </wp:positionH>
          <wp:positionV relativeFrom="paragraph">
            <wp:posOffset>-456724</wp:posOffset>
          </wp:positionV>
          <wp:extent cx="7776210" cy="1147445"/>
          <wp:effectExtent l="0" t="0" r="0" b="0"/>
          <wp:wrapSquare wrapText="bothSides"/>
          <wp:docPr id="10048020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02075" name=""/>
                  <pic:cNvPicPr/>
                </pic:nvPicPr>
                <pic:blipFill>
                  <a:blip r:embed="rId1">
                    <a:extLst>
                      <a:ext uri="{28A0092B-C50C-407E-A947-70E740481C1C}">
                        <a14:useLocalDpi xmlns:a14="http://schemas.microsoft.com/office/drawing/2010/main" val="0"/>
                      </a:ext>
                    </a:extLst>
                  </a:blip>
                  <a:stretch>
                    <a:fillRect/>
                  </a:stretch>
                </pic:blipFill>
                <pic:spPr>
                  <a:xfrm>
                    <a:off x="0" y="0"/>
                    <a:ext cx="7776210" cy="11474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F4611"/>
    <w:multiLevelType w:val="hybridMultilevel"/>
    <w:tmpl w:val="60F647F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E15848"/>
    <w:multiLevelType w:val="hybridMultilevel"/>
    <w:tmpl w:val="FCCE0D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66439E2"/>
    <w:multiLevelType w:val="hybridMultilevel"/>
    <w:tmpl w:val="2E1444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93590699">
    <w:abstractNumId w:val="2"/>
  </w:num>
  <w:num w:numId="2" w16cid:durableId="1090465143">
    <w:abstractNumId w:val="1"/>
  </w:num>
  <w:num w:numId="3" w16cid:durableId="212156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95F"/>
    <w:rsid w:val="00035A48"/>
    <w:rsid w:val="00072DC1"/>
    <w:rsid w:val="000963D5"/>
    <w:rsid w:val="001B7C81"/>
    <w:rsid w:val="00235772"/>
    <w:rsid w:val="00235C0C"/>
    <w:rsid w:val="002932BA"/>
    <w:rsid w:val="002C495F"/>
    <w:rsid w:val="00351EB4"/>
    <w:rsid w:val="004C0E6A"/>
    <w:rsid w:val="006479E3"/>
    <w:rsid w:val="006D2529"/>
    <w:rsid w:val="007D4ADD"/>
    <w:rsid w:val="0086383D"/>
    <w:rsid w:val="008C2C43"/>
    <w:rsid w:val="00940616"/>
    <w:rsid w:val="009A5F9A"/>
    <w:rsid w:val="00A01575"/>
    <w:rsid w:val="00AA667F"/>
    <w:rsid w:val="00AB5283"/>
    <w:rsid w:val="00AD3C80"/>
    <w:rsid w:val="00AD47E9"/>
    <w:rsid w:val="00B91CE3"/>
    <w:rsid w:val="00BE5666"/>
    <w:rsid w:val="00C22B3D"/>
    <w:rsid w:val="00C52ACD"/>
    <w:rsid w:val="00C759FE"/>
    <w:rsid w:val="00D84944"/>
    <w:rsid w:val="00D95028"/>
    <w:rsid w:val="00DD134F"/>
    <w:rsid w:val="00DD1A1F"/>
    <w:rsid w:val="00E14157"/>
    <w:rsid w:val="00E433CC"/>
    <w:rsid w:val="00E902CC"/>
    <w:rsid w:val="00F552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9BF58"/>
  <w15:chartTrackingRefBased/>
  <w15:docId w15:val="{D18E2209-F567-4C15-A9B3-F2C79E11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C43"/>
    <w:rPr>
      <w:rFonts w:ascii="Montserrat" w:hAnsi="Montserrat"/>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49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C495F"/>
  </w:style>
  <w:style w:type="paragraph" w:styleId="Piedepgina">
    <w:name w:val="footer"/>
    <w:basedOn w:val="Normal"/>
    <w:link w:val="PiedepginaCar"/>
    <w:uiPriority w:val="99"/>
    <w:unhideWhenUsed/>
    <w:rsid w:val="002C49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495F"/>
  </w:style>
  <w:style w:type="paragraph" w:customStyle="1" w:styleId="SubtitutoCO">
    <w:name w:val="Subtituto CO"/>
    <w:basedOn w:val="Normal"/>
    <w:link w:val="SubtitutoCOCar"/>
    <w:qFormat/>
    <w:rsid w:val="00E902CC"/>
    <w:rPr>
      <w:i/>
      <w:iCs/>
    </w:rPr>
  </w:style>
  <w:style w:type="character" w:customStyle="1" w:styleId="SubtitutoCOCar">
    <w:name w:val="Subtituto CO Car"/>
    <w:basedOn w:val="Fuentedeprrafopredeter"/>
    <w:link w:val="SubtitutoCO"/>
    <w:rsid w:val="00E902CC"/>
    <w:rPr>
      <w:rFonts w:ascii="Montserrat" w:hAnsi="Montserrat"/>
      <w:i/>
      <w:iCs/>
    </w:rPr>
  </w:style>
  <w:style w:type="paragraph" w:styleId="Prrafodelista">
    <w:name w:val="List Paragraph"/>
    <w:basedOn w:val="Normal"/>
    <w:uiPriority w:val="34"/>
    <w:qFormat/>
    <w:rsid w:val="00647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1200</Words>
  <Characters>6605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Olivares</dc:creator>
  <cp:keywords/>
  <dc:description/>
  <cp:lastModifiedBy>Claudia Olivares</cp:lastModifiedBy>
  <cp:revision>5</cp:revision>
  <dcterms:created xsi:type="dcterms:W3CDTF">2023-11-09T17:00:00Z</dcterms:created>
  <dcterms:modified xsi:type="dcterms:W3CDTF">2023-11-10T16:55:00Z</dcterms:modified>
</cp:coreProperties>
</file>